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708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60"/>
        <w:gridCol w:w="972"/>
        <w:gridCol w:w="1068"/>
        <w:gridCol w:w="1428"/>
        <w:gridCol w:w="842"/>
        <w:gridCol w:w="2270"/>
        <w:gridCol w:w="1470"/>
        <w:gridCol w:w="1370"/>
        <w:gridCol w:w="2090"/>
        <w:gridCol w:w="2236"/>
      </w:tblGrid>
      <w:tr>
        <w:trPr>
          <w:tblHeader w:val="true"/>
          <w:trHeight w:val="445" w:hRule="atLeast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>Numer Zgłoszenia</w:t>
            </w:r>
            <w:r>
              <w:rPr>
                <w:rStyle w:val="FootnoteCharacters"/>
                <w:rStyle w:val="Zakotwiczenieprzypisudolnego"/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footnoteReference w:id="2"/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>Przedmiot Naruszenia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>Prawa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>Dane Osobowe Sygnalisty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>Dane Osobowe Osoby, której dotyczy zgłoszenie</w:t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>Data Dokonania Zgłoszenia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>Informacja o Podjętych Działaniach Następczych</w:t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>Informacja o wydaniu zaświadczenia o którym mowa w art. 38.</w:t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Data zakończenia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sprawy 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Informacja o niepodejmowaniu dalszych działań w przypadku o którym mowa w art. 40 ust.2</w:t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4"/>
                <w:szCs w:val="14"/>
                <w:lang w:eastAsia="pl-PL"/>
              </w:rPr>
              <w:t xml:space="preserve">Szacowana szkoda majątkowa oraz kwoty odzyskane w wyniku postępowań dot. naruszeń prawa </w:t>
            </w:r>
          </w:p>
        </w:tc>
      </w:tr>
      <w:tr>
        <w:trPr>
          <w:tblHeader w:val="true"/>
          <w:trHeight w:val="4074" w:hRule="atLeast"/>
        </w:trPr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  <w:tc>
          <w:tcPr>
            <w:tcW w:w="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  <w:bookmarkStart w:id="0" w:name="_GoBack"/>
            <w:bookmarkStart w:id="1" w:name="_GoBack"/>
            <w:bookmarkEnd w:id="1"/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  <w:tc>
          <w:tcPr>
            <w:tcW w:w="1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  <w:tc>
          <w:tcPr>
            <w:tcW w:w="2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4"/>
                <w:lang w:eastAsia="pl-PL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orient="landscape" w:w="16838" w:h="11906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top w:val="single" w:sz="6" w:space="10" w:color="5B9BD5"/>
      </w:pBdr>
      <w:spacing w:before="240" w:after="0"/>
      <w:jc w:val="center"/>
      <w:rPr>
        <w:color w:val="5B9BD5" w:themeColor="accent1"/>
      </w:rPr>
    </w:pPr>
    <w:r>
      <w:rPr>
        <w:color w:val="5B9BD5" w:themeColor="accent1"/>
      </w:rPr>
      <w:t>Karta nr ……………………………………….</w:t>
    </w:r>
    <w:r>
      <w:rPr>
        <w:color w:val="5B9BD5" w:themeColor="accent1"/>
      </w:rPr>
      <w:drawing>
        <wp:inline distT="0" distB="8890" distL="0" distR="0">
          <wp:extent cx="438785" cy="276860"/>
          <wp:effectExtent l="0" t="0" r="0" b="0"/>
          <wp:docPr id="1" name="Obraz 14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4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276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spacing w:before="0" w:after="160"/>
        <w:rPr/>
      </w:pPr>
      <w:r>
        <w:rPr>
          <w:rStyle w:val="Znakiprzypiswdolnych"/>
        </w:rPr>
        <w:footnoteRef/>
      </w:r>
      <w:r>
        <w:rPr>
          <w:rStyle w:val="FootnoteCharacters"/>
        </w:rPr>
        <w:tab/>
      </w:r>
      <w:r>
        <w:rPr/>
        <w:t xml:space="preserve"> </w:t>
      </w:r>
      <w:r>
        <w:rPr/>
        <w:t>- Każdy sygnalista jest rejestrowany na nowej karcie, w sposób umożliwiający zniszczenie danych, po upływie ustawowych terminów.  Informacje zwarte             w rejestrze mają charakter poufny.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>
        <w:color w:val="5B9BD5" w:themeColor="accent1"/>
      </w:rPr>
      <w:t xml:space="preserve">Załącznik do Procedury § </w:t>
    </w:r>
    <w:r>
      <w:rPr>
        <w:color w:val="5B9BD5" w:themeColor="accent1"/>
      </w:rPr>
      <w:t>7</w:t>
    </w:r>
    <w:r>
      <w:rPr>
        <w:color w:val="5B9BD5" w:themeColor="accent1"/>
      </w:rPr>
      <w:t xml:space="preserve"> ust.</w:t>
    </w:r>
    <w:r>
      <w:rPr>
        <w:color w:val="5B9BD5" w:themeColor="accent1"/>
      </w:rPr>
      <w:t>9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3f197a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3f197a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3f197a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9c09f9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c09f9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3f197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3f197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c09f9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93C5-60A7-4809-B65E-3B8030C8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LibreOffice/6.0.1.1$Windows_X86_64 LibreOffice_project/60bfb1526849283ce2491346ed2aa51c465abfe6</Application>
  <Pages>1</Pages>
  <Words>95</Words>
  <Characters>596</Characters>
  <CharactersWithSpaces>692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2024-08-30T13:00:00Z</dcterms:created>
  <dc:creator>Admin</dc:creator>
  <dc:description/>
  <dc:language>pl-PL</dc:language>
  <cp:lastModifiedBy/>
  <dcterms:modified xsi:type="dcterms:W3CDTF">2024-12-16T14:27:22Z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